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3D" w:rsidRDefault="0084223D" w:rsidP="0084223D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ru-RU"/>
        </w:rPr>
        <w:t xml:space="preserve">Аннотация </w:t>
      </w:r>
    </w:p>
    <w:p w:rsidR="0084223D" w:rsidRPr="0084223D" w:rsidRDefault="0084223D" w:rsidP="0084223D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ru-RU"/>
        </w:rPr>
        <w:t xml:space="preserve">к программе </w:t>
      </w:r>
      <w:r w:rsidRPr="0084223D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ru-RU"/>
        </w:rPr>
        <w:t xml:space="preserve">повышения квалификации </w:t>
      </w:r>
      <w:r w:rsidRPr="0084223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химиков-дозиметристов</w:t>
      </w:r>
    </w:p>
    <w:p w:rsidR="0084223D" w:rsidRDefault="0084223D" w:rsidP="0084223D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4223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(заочное обучение с применением дистанционных образовательных технологий)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.</w:t>
      </w:r>
    </w:p>
    <w:p w:rsidR="0084223D" w:rsidRDefault="0084223D" w:rsidP="0084223D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4223D" w:rsidRPr="0084223D" w:rsidRDefault="0084223D" w:rsidP="008422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Цель:</w:t>
      </w:r>
      <w:r w:rsidRPr="0084223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8422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формирование у слушателей необходимых знаний, умений, навыков в области организации защиты от поражающих факторов оружия массового уничтожения</w:t>
      </w:r>
      <w:r w:rsidRPr="0084223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84223D" w:rsidRPr="0084223D" w:rsidRDefault="0084223D" w:rsidP="008422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Категория слушателей: </w:t>
      </w:r>
      <w:r w:rsidRPr="008422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 работники пожарных подразделений ГПС, спасательных и аварийно-спасательных формирований МЧС России</w:t>
      </w:r>
      <w:r w:rsidRPr="0084223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84223D" w:rsidRPr="0084223D" w:rsidRDefault="0084223D" w:rsidP="008422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 xml:space="preserve">Формы обучения: </w:t>
      </w:r>
      <w:r w:rsidRPr="0084223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з</w:t>
      </w:r>
      <w:r w:rsidRPr="008422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промежуточного и итогового контроля (зачета). </w:t>
      </w:r>
    </w:p>
    <w:p w:rsidR="0084223D" w:rsidRPr="0084223D" w:rsidRDefault="0084223D" w:rsidP="008422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С</w:t>
      </w:r>
      <w:r w:rsidRPr="0084223D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роки обучения</w:t>
      </w:r>
      <w:r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 xml:space="preserve">: </w:t>
      </w:r>
      <w:r w:rsidRPr="008422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определить слушателям период обучения 8 учебных дней с ежедневным выделением 4 часов свободного от работы времени (5 учебных дней с ежедневным выделением 6 часов свободного от работы времени) для прохождения обучения с возможностью доступа к сети Интернет</w:t>
      </w:r>
      <w:r w:rsidRPr="0084223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84223D" w:rsidRPr="0084223D" w:rsidRDefault="0084223D" w:rsidP="00842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84223D" w:rsidRPr="0084223D" w:rsidRDefault="0084223D" w:rsidP="008422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84223D" w:rsidRPr="00E915A8" w:rsidRDefault="00E915A8" w:rsidP="00842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</w:t>
      </w:r>
      <w:r w:rsidRPr="00E915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 время обучения на данных курсах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слушатели</w:t>
      </w:r>
      <w:r w:rsidRPr="00E915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получают объем знаний и навыков, необходимый для выполнения обязанностей химика-дозиметриста</w:t>
      </w:r>
      <w:bookmarkStart w:id="0" w:name="_GoBack"/>
      <w:bookmarkEnd w:id="0"/>
      <w:r w:rsidR="0084223D" w:rsidRPr="00E915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223D" w:rsidRPr="00D55E97" w:rsidRDefault="0084223D" w:rsidP="0084223D">
      <w:pPr>
        <w:tabs>
          <w:tab w:val="left" w:pos="1134"/>
          <w:tab w:val="left" w:pos="1418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1. Понимать сущность и социальную значимость своей профессии, проявлять к ней устойчивый интерес.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lastRenderedPageBreak/>
        <w:t>4. Осуществлять поиск информации, необходимой для эффективного выполнения профессиональных задач.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5. Использовать информационно-коммуникационные технологии в профессиональной деятельности.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 xml:space="preserve">6. Работать в команде, эффективно общаться с коллегами, руководством, гражданами. 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E97">
        <w:rPr>
          <w:rFonts w:ascii="Times New Roman" w:hAnsi="Times New Roman"/>
          <w:sz w:val="26"/>
          <w:szCs w:val="26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1. Знать поражающие факторы ядерного, химического и биологического оружия.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2. Правильно использовать в практической деятельности приборы дозиметрического контроля, радиационной и химической разведки.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3. Иметь навыки использования средств индивидуальной защиты.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4. Оказывать первую помощь лицам, пострадавшим в зонах ядерного, химического и биологического поражения.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5. Знать способы частичной и полной специальной обработки.</w:t>
      </w:r>
    </w:p>
    <w:p w:rsidR="0084223D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D55E97">
        <w:rPr>
          <w:rFonts w:ascii="Times New Roman" w:hAnsi="Times New Roman" w:cs="Times New Roman"/>
          <w:snapToGrid w:val="0"/>
          <w:sz w:val="26"/>
          <w:szCs w:val="26"/>
        </w:rPr>
        <w:t>6. Порядок действий при приведении в готовность и выдвижении формирований ГО</w:t>
      </w:r>
      <w:r w:rsidRPr="00D55E97">
        <w:rPr>
          <w:rFonts w:ascii="Times New Roman" w:hAnsi="Times New Roman" w:cs="Times New Roman"/>
          <w:sz w:val="26"/>
          <w:szCs w:val="26"/>
        </w:rPr>
        <w:t xml:space="preserve"> в район выполнения АСР</w:t>
      </w:r>
      <w:r w:rsidRPr="00D55E97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4223D" w:rsidRPr="0084223D" w:rsidRDefault="0084223D" w:rsidP="00842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Calibri"/>
          <w:sz w:val="26"/>
          <w:szCs w:val="26"/>
          <w:lang w:eastAsia="ru-RU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84223D" w:rsidRPr="0084223D" w:rsidRDefault="0084223D" w:rsidP="00842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Calibri"/>
          <w:sz w:val="26"/>
          <w:szCs w:val="26"/>
          <w:lang w:eastAsia="ru-RU"/>
        </w:rPr>
        <w:t>По окончании обучения по программе проводится итоговая аттестация (зачет). Оценочный материал для итоговой аттестации разрабатывается в соответствии с квалификационными требованиями, задачами и функциями по должности пожарного (старшего пожарного) подразделений ГПС МЧС России.</w:t>
      </w:r>
    </w:p>
    <w:p w:rsidR="0084223D" w:rsidRPr="0084223D" w:rsidRDefault="0084223D" w:rsidP="008422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4223D">
        <w:rPr>
          <w:rFonts w:ascii="Times New Roman" w:eastAsia="Times New Roman" w:hAnsi="Times New Roman" w:cs="Calibri"/>
          <w:sz w:val="26"/>
          <w:szCs w:val="26"/>
          <w:lang w:eastAsia="ru-RU"/>
        </w:rPr>
        <w:t>В случае успешного прохождения итоговой аттестации слушатель соответствует требованиям, предъявляемым к квалификации пожарного (старшего пожарного) подразделений ГПС МЧС России.</w:t>
      </w:r>
    </w:p>
    <w:p w:rsidR="0084223D" w:rsidRPr="00D55E97" w:rsidRDefault="0084223D" w:rsidP="0084223D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</w:p>
    <w:p w:rsidR="007242A3" w:rsidRDefault="007242A3"/>
    <w:sectPr w:rsidR="007242A3" w:rsidSect="008422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A3"/>
    <w:rsid w:val="007242A3"/>
    <w:rsid w:val="0084223D"/>
    <w:rsid w:val="00CE75A3"/>
    <w:rsid w:val="00E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1427"/>
  <w15:chartTrackingRefBased/>
  <w15:docId w15:val="{3986BF66-C759-4FB6-B36A-8D93F44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2021-08-02T08:54:00Z</dcterms:created>
  <dcterms:modified xsi:type="dcterms:W3CDTF">2021-08-02T09:11:00Z</dcterms:modified>
</cp:coreProperties>
</file>